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</w:p>
    <w:p w:rsidR="00B03E9E" w:rsidRPr="00B03E9E" w:rsidRDefault="00B03E9E" w:rsidP="00B03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9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Зеренді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Баратай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</w:rPr>
        <w:t xml:space="preserve">" КММ 2018 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  <w:lang w:val="kk-KZ"/>
        </w:rPr>
        <w:t>ында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ғы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b/>
          <w:sz w:val="28"/>
          <w:szCs w:val="28"/>
        </w:rPr>
        <w:t>саласындағы</w:t>
      </w:r>
      <w:proofErr w:type="spellEnd"/>
      <w:r w:rsidRPr="00B03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есебі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r w:rsidRPr="00B03E9E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Баратай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мектебі"КММ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Баратай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селосы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көшесі,</w:t>
      </w:r>
      <w:proofErr w:type="gramStart"/>
      <w:r w:rsidRPr="00B03E9E">
        <w:rPr>
          <w:rFonts w:ascii="Times New Roman" w:hAnsi="Times New Roman" w:cs="Times New Roman"/>
          <w:sz w:val="28"/>
          <w:szCs w:val="28"/>
        </w:rPr>
        <w:t>1 ,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proofErr w:type="gramEnd"/>
      <w:r w:rsidRPr="00B03E9E">
        <w:rPr>
          <w:rFonts w:ascii="Times New Roman" w:hAnsi="Times New Roman" w:cs="Times New Roman"/>
          <w:sz w:val="28"/>
          <w:szCs w:val="28"/>
        </w:rPr>
        <w:t xml:space="preserve"> телефоны 871632 51558.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күндерін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E9E">
        <w:rPr>
          <w:rFonts w:ascii="Times New Roman" w:hAnsi="Times New Roman" w:cs="Times New Roman"/>
          <w:sz w:val="28"/>
          <w:szCs w:val="28"/>
        </w:rPr>
        <w:t>қоспағанда,жұмыс</w:t>
      </w:r>
      <w:proofErr w:type="spellEnd"/>
      <w:proofErr w:type="gram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9-00-ден 18-00-ге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13-00-ден 14-00-ге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.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Баратай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" КММ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: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 xml:space="preserve">            1.    "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"»;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2.  "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"»;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беру (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»;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4. "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стандарты»;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 w:rsidRPr="00B03E9E">
        <w:rPr>
          <w:rFonts w:ascii="Times New Roman" w:hAnsi="Times New Roman" w:cs="Times New Roman"/>
          <w:sz w:val="28"/>
          <w:szCs w:val="28"/>
        </w:rPr>
        <w:t>5. "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".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7E96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B03E9E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E9E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7701"/>
        <w:gridCol w:w="1419"/>
      </w:tblGrid>
      <w:tr w:rsidR="00B03E9E" w:rsidRPr="00B03E9E" w:rsidTr="00AF1B8C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B03E9E" w:rsidRPr="00B03E9E" w:rsidRDefault="00B03E9E" w:rsidP="00B03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р/с 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3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қызметтердің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3E9E" w:rsidRPr="00B03E9E" w:rsidTr="00AF1B8C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берудің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бағдарламалары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ведомстволық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бағыныстылығына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қарамастан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оқуға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"»;</w:t>
            </w: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03E9E" w:rsidRPr="00B03E9E" w:rsidTr="00AF1B8C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бара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"»;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03E9E" w:rsidRPr="00B03E9E" w:rsidTr="00AF1B8C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03E9E" w:rsidRPr="00B03E9E" w:rsidRDefault="00B03E9E" w:rsidP="00B40A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, орта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білімнен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бағдарламаларын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ұйымдарының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қызметкерлері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теңестірілген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тұлғаларға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біліктілік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санаттарын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беру (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растау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аттестаттаудан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өткізуге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03E9E" w:rsidRPr="00B03E9E" w:rsidTr="00AF1B8C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03E9E" w:rsidRPr="00B03E9E" w:rsidRDefault="00B03E9E" w:rsidP="00B40A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телнұсқаларын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беру"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стандарты»;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3E9E" w:rsidRPr="00B03E9E" w:rsidTr="00AF1B8C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B03E9E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03E9E" w:rsidRPr="00B03E9E" w:rsidRDefault="00B03E9E" w:rsidP="00B0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стандартының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әрі</w:t>
      </w:r>
      <w:proofErr w:type="spellEnd"/>
      <w:r>
        <w:rPr>
          <w:rFonts w:ascii="Times New Roman" w:hAnsi="Times New Roman" w:cs="Times New Roman"/>
          <w:sz w:val="28"/>
          <w:szCs w:val="28"/>
        </w:rPr>
        <w:t>-стандарт)</w:t>
      </w:r>
      <w:r w:rsidRPr="00B03E9E">
        <w:rPr>
          <w:rFonts w:ascii="Times New Roman" w:hAnsi="Times New Roman" w:cs="Times New Roman"/>
          <w:sz w:val="28"/>
          <w:szCs w:val="28"/>
        </w:rPr>
        <w:t>;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Баратай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стендтерінде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.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03E9E">
        <w:rPr>
          <w:rFonts w:ascii="Times New Roman" w:hAnsi="Times New Roman" w:cs="Times New Roman"/>
          <w:sz w:val="28"/>
          <w:szCs w:val="28"/>
        </w:rPr>
        <w:t xml:space="preserve">ОТЖ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шағымдар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>.</w:t>
      </w: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шағымдары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9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50"/>
        <w:gridCol w:w="1203"/>
        <w:gridCol w:w="1286"/>
        <w:gridCol w:w="839"/>
        <w:gridCol w:w="1822"/>
        <w:gridCol w:w="1465"/>
        <w:gridCol w:w="1480"/>
      </w:tblGrid>
      <w:tr w:rsidR="00B03E9E" w:rsidRPr="00B03E9E" w:rsidTr="00AF1B8C">
        <w:trPr>
          <w:tblCellSpacing w:w="15" w:type="dxa"/>
        </w:trPr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ағым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беруші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мәліметтер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Шағымдар мәні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ағымды қараған және (немесе) шешім қабылдаған</w:t>
            </w: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</w:t>
            </w: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рган (ұйым),</w:t>
            </w:r>
          </w:p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Қарау мерзімі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Шағымды қарау қорытындылары бойынша құжаттың №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Қабылданған шешім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Қабылданған шешімді қайта қарау туралы мәліметтер</w:t>
            </w:r>
          </w:p>
        </w:tc>
      </w:tr>
      <w:tr w:rsidR="00B03E9E" w:rsidRPr="00B03E9E" w:rsidTr="00AF1B8C">
        <w:trPr>
          <w:tblCellSpacing w:w="15" w:type="dxa"/>
        </w:trPr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3E9E" w:rsidRPr="00B03E9E" w:rsidTr="00AF1B8C">
        <w:trPr>
          <w:tblCellSpacing w:w="15" w:type="dxa"/>
        </w:trPr>
        <w:tc>
          <w:tcPr>
            <w:tcW w:w="0" w:type="auto"/>
            <w:gridSpan w:val="7"/>
          </w:tcPr>
          <w:p w:rsidR="00B03E9E" w:rsidRPr="00B03E9E" w:rsidRDefault="00B03E9E" w:rsidP="00B03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Шағымдар түскен жоқ</w:t>
            </w:r>
          </w:p>
        </w:tc>
      </w:tr>
      <w:tr w:rsidR="00B03E9E" w:rsidRPr="00B03E9E" w:rsidTr="00AF1B8C">
        <w:trPr>
          <w:tblCellSpacing w:w="15" w:type="dxa"/>
        </w:trPr>
        <w:tc>
          <w:tcPr>
            <w:tcW w:w="0" w:type="auto"/>
          </w:tcPr>
          <w:p w:rsidR="00B03E9E" w:rsidRPr="00B03E9E" w:rsidRDefault="00B03E9E" w:rsidP="00B0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03E9E" w:rsidRPr="00B03E9E" w:rsidRDefault="00B03E9E" w:rsidP="00B0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03E9E" w:rsidRDefault="00B03E9E" w:rsidP="00B03E9E">
      <w:pPr>
        <w:rPr>
          <w:rFonts w:ascii="Times New Roman" w:hAnsi="Times New Roman" w:cs="Times New Roman"/>
          <w:sz w:val="28"/>
          <w:szCs w:val="28"/>
        </w:rPr>
      </w:pPr>
    </w:p>
    <w:p w:rsidR="00B03E9E" w:rsidRPr="00B03E9E" w:rsidRDefault="00B03E9E" w:rsidP="00B03E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Мектеп директоры:     Садвакасова Т.Қ.</w:t>
      </w:r>
    </w:p>
    <w:sectPr w:rsidR="00B03E9E" w:rsidRPr="00B03E9E" w:rsidSect="00B03E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70"/>
    <w:rsid w:val="00677E96"/>
    <w:rsid w:val="00737970"/>
    <w:rsid w:val="00B03E9E"/>
    <w:rsid w:val="00B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F8B9"/>
  <w15:chartTrackingRefBased/>
  <w15:docId w15:val="{5A19A897-8874-47E0-95EC-A034F4E0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2019-02-11T10:25:00Z</dcterms:created>
  <dcterms:modified xsi:type="dcterms:W3CDTF">2019-02-11T10:35:00Z</dcterms:modified>
</cp:coreProperties>
</file>